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5C34F0" w:rsidRDefault="00560997" w:rsidP="00D422CA">
      <w:pPr>
        <w:pStyle w:val="Heading1"/>
        <w:rPr>
          <w:color w:val="auto"/>
        </w:rPr>
      </w:pPr>
      <w:r w:rsidRPr="005C34F0">
        <w:rPr>
          <w:color w:val="auto"/>
        </w:rPr>
        <w:t xml:space="preserve">Стандард </w:t>
      </w:r>
      <w:r w:rsidR="002F3AB9" w:rsidRPr="005C34F0">
        <w:rPr>
          <w:color w:val="auto"/>
        </w:rPr>
        <w:t>1: Структура студијског програма</w:t>
      </w:r>
    </w:p>
    <w:p w:rsidR="005C34F0" w:rsidRPr="005C34F0" w:rsidRDefault="005C34F0" w:rsidP="005C34F0">
      <w:pPr>
        <w:contextualSpacing/>
        <w:rPr>
          <w:rFonts w:eastAsia="TimesNewRomanPSMT"/>
          <w:szCs w:val="22"/>
          <w:lang w:eastAsia="sr-Latn-RS"/>
        </w:rPr>
      </w:pPr>
      <w:r w:rsidRPr="005C34F0">
        <w:rPr>
          <w:szCs w:val="22"/>
        </w:rPr>
        <w:t xml:space="preserve">Студијски програм специјалистичких академских студија – Фармакотерапија у фармацеутској пракси трајe три семестра и има 90 ЕСПБ. Студијски програм омогућава студентима да обнове постојећа и стекну нова знања неопходна за примену безбедне, ефикасне и економичне фармакотерапије у лечењу најчешћих болести на нашем поднебљу, као и правилну примену биљних лековитих производа и специјално дизајнираних дијететских намирница за превенцију болести. У оквиру изборних предмета кандидати могу да стекну и основна стручна знања из области: интерпретације лабораторијских тестова у контроли терапије; </w:t>
      </w:r>
      <w:r w:rsidRPr="005C34F0">
        <w:rPr>
          <w:rFonts w:eastAsia="TimesNewRomanPSMT"/>
          <w:szCs w:val="22"/>
          <w:lang w:eastAsia="sr-Latn-RS"/>
        </w:rPr>
        <w:t>састава, ефеката и примене дермокозметичких препарата; фармаковигиланце и регистрације лекова и маркетинга и менаџмента у фармацији, чиме проширују компетенције и обликују их према захтевима радног места (апотека, фармацеутско представништво, регулаторни орган и др.).</w:t>
      </w:r>
    </w:p>
    <w:p w:rsidR="005C34F0" w:rsidRPr="005C34F0" w:rsidRDefault="005C34F0" w:rsidP="005C34F0">
      <w:pPr>
        <w:contextualSpacing/>
        <w:rPr>
          <w:rFonts w:eastAsia="TimesNewRomanPSMT"/>
          <w:szCs w:val="22"/>
          <w:lang w:eastAsia="sr-Latn-RS"/>
        </w:rPr>
      </w:pPr>
      <w:r w:rsidRPr="005C34F0">
        <w:rPr>
          <w:szCs w:val="22"/>
          <w:lang w:eastAsia="sr-Latn-RS"/>
        </w:rPr>
        <w:t>Право уписа на специјалистичке академске студије имају кандидати који су завршили Фармацеутски факултет, Медицински факултет, Стоматолошки факултет или Факултет ветеринарске медицине.</w:t>
      </w:r>
    </w:p>
    <w:p w:rsidR="005C34F0" w:rsidRPr="005C34F0" w:rsidRDefault="005C34F0" w:rsidP="005C34F0">
      <w:pPr>
        <w:contextualSpacing/>
        <w:rPr>
          <w:szCs w:val="22"/>
        </w:rPr>
      </w:pPr>
      <w:r w:rsidRPr="005C34F0">
        <w:rPr>
          <w:szCs w:val="22"/>
          <w:lang w:eastAsia="sr-Latn-RS"/>
        </w:rPr>
        <w:t>Студијски програм има укупно 9 обавезних и 2 изборна предмета, а сви предмети су једносеместрални. Број ЕСПБ бодова за сваки предмет одређен је у односу на постављене задатке које студент треба да обави како би остварио циљ и исход учења.</w:t>
      </w:r>
    </w:p>
    <w:p w:rsidR="005C34F0" w:rsidRPr="005C34F0" w:rsidRDefault="005C34F0" w:rsidP="005C34F0">
      <w:pPr>
        <w:contextualSpacing/>
        <w:rPr>
          <w:szCs w:val="22"/>
          <w:lang w:eastAsia="sr-Latn-RS"/>
        </w:rPr>
      </w:pPr>
      <w:r w:rsidRPr="005C34F0">
        <w:rPr>
          <w:b/>
          <w:szCs w:val="22"/>
        </w:rPr>
        <w:t>У првом семестру специјализације</w:t>
      </w:r>
      <w:r w:rsidRPr="005C34F0">
        <w:rPr>
          <w:szCs w:val="22"/>
        </w:rPr>
        <w:t>, обавезни предмети Фармакотерапија 1 (20 ЕСПБ), Фитотерапија 1 (5 ЕСПБ) и Дијететика 1 (5 ЕСПБ), обрађују најчешћа обољења  кардиоваскуларног система (хипертензију, дислипидемије, коронарну болест, срчану инсуфицијенцију, срчане аритмије, тромбозе, анемије), респираторног система (алергијски ринитис, инфекције горњег и доњег респираторног тракта, астму и хроничну опструктивну болест плућа) и гастроинтестиналног система (улкус и гастроезофагусни рефлукс, инфламаторну болест црева, мучнину, повраћање, ди</w:t>
      </w:r>
      <w:bookmarkStart w:id="0" w:name="_GoBack"/>
      <w:bookmarkEnd w:id="0"/>
      <w:r w:rsidRPr="005C34F0">
        <w:rPr>
          <w:szCs w:val="22"/>
        </w:rPr>
        <w:t xml:space="preserve">јареју, опстипацију) кроз аспекте фармакотерапије, као и примене биљних лековитих производа и дијететских намирница, када су оне заступљене у превенцији или као додатак лечењу одређених болести. </w:t>
      </w:r>
    </w:p>
    <w:p w:rsidR="005C34F0" w:rsidRPr="005C34F0" w:rsidRDefault="005C34F0" w:rsidP="005C34F0">
      <w:pPr>
        <w:contextualSpacing/>
        <w:rPr>
          <w:szCs w:val="22"/>
        </w:rPr>
      </w:pPr>
      <w:r w:rsidRPr="005C34F0">
        <w:rPr>
          <w:b/>
          <w:szCs w:val="22"/>
        </w:rPr>
        <w:t>У другом семестру специјализације</w:t>
      </w:r>
      <w:r w:rsidRPr="005C34F0">
        <w:rPr>
          <w:szCs w:val="22"/>
        </w:rPr>
        <w:t xml:space="preserve">, обавезни предмети Фармакотерапија 2 (15 ЕСПБ), Фитотерапија 2 (5 ЕСПБ) и Дијететика 2 (5 ЕСПБ), обрађују најчешћа психијатријска обољења (анксиозне поремећаје, поремећаје спавања, психотичне поремећаје, поремећаје афекта, злоупотребу психоактивних супстанци и зависност), неуролошка обољења (епилепсије, бол и главобоље, Паркинсонову болест,  мултиплу склерозу, деменције) и болести уринарног тракта (уринарне инфекције)  кроз аспекте фармакотерапије, као и примене биљних лековитих производа и дијететских намирница, када су оне заступљене у превенцији или као додатак лечењу одређених болести. У другом семестру студент се у оквиру изборног блока (5 ЕСПБ) опредељује између предмета Интерпретација лабораторијских тестова у контроли терапије и </w:t>
      </w:r>
      <w:r w:rsidRPr="005C34F0">
        <w:rPr>
          <w:bCs/>
          <w:szCs w:val="22"/>
        </w:rPr>
        <w:t xml:space="preserve">Фармацеутски менаџмент и маркетинг. </w:t>
      </w:r>
    </w:p>
    <w:p w:rsidR="0078000A" w:rsidRDefault="005C34F0" w:rsidP="0078000A">
      <w:pPr>
        <w:contextualSpacing/>
        <w:rPr>
          <w:bCs/>
          <w:szCs w:val="22"/>
        </w:rPr>
      </w:pPr>
      <w:r w:rsidRPr="005C34F0">
        <w:rPr>
          <w:b/>
          <w:szCs w:val="22"/>
        </w:rPr>
        <w:t>У трећем семестру специјализације</w:t>
      </w:r>
      <w:r w:rsidRPr="005C34F0">
        <w:rPr>
          <w:szCs w:val="22"/>
        </w:rPr>
        <w:t>, обавезни предмети Фармакотерапија 3 (15 ЕСПБ), Фитотерапија 3 (5 ЕСПБ) и Дијететика 3 (5 ЕСПБ), обрађују најчешће обољења ендокриног система (дијабетес мелитус, гојазност, обољења штитасте жлезде, као и оралну контрацептиву и хормонску супституциону терапију), обољења мишићнокоштаног система (остеопорозу и остеомалацију, реуматоидни артритис, остеоартритис, гихт), онколошкa обољења (рак дојке), гљивичне инфекције, као и обољења коже (акне, псоријаза, атопични дерматитис, дерматолошке реакције на лекове) и ока кроз аспекте фарма</w:t>
      </w:r>
      <w:r w:rsidRPr="005C34F0">
        <w:rPr>
          <w:szCs w:val="22"/>
        </w:rPr>
        <w:lastRenderedPageBreak/>
        <w:t xml:space="preserve">котерапије, као и примене биљних лековитих производа и дијететских намирница, када су оне заступљене у превенцији или као додатак лечењу одређених болести. У другом семестру студент се у оквиру изборног блока (5 ЕСПБ) опредељује између предмета </w:t>
      </w:r>
      <w:r w:rsidRPr="005C34F0">
        <w:rPr>
          <w:bCs/>
          <w:szCs w:val="22"/>
        </w:rPr>
        <w:t>Дермокозметички препарати</w:t>
      </w:r>
      <w:r w:rsidRPr="005C34F0">
        <w:rPr>
          <w:szCs w:val="22"/>
        </w:rPr>
        <w:t xml:space="preserve"> и Фармаковигиланца и регистрација лекова</w:t>
      </w:r>
      <w:r w:rsidRPr="005C34F0">
        <w:rPr>
          <w:bCs/>
          <w:szCs w:val="22"/>
        </w:rPr>
        <w:t xml:space="preserve">. </w:t>
      </w:r>
    </w:p>
    <w:p w:rsidR="00B86F5F" w:rsidRPr="0078000A" w:rsidRDefault="005C34F0" w:rsidP="0078000A">
      <w:pPr>
        <w:contextualSpacing/>
        <w:rPr>
          <w:b/>
          <w:bCs/>
          <w:iCs/>
          <w:smallCaps/>
          <w:szCs w:val="22"/>
        </w:rPr>
      </w:pPr>
      <w:r w:rsidRPr="0078000A">
        <w:rPr>
          <w:szCs w:val="22"/>
        </w:rPr>
        <w:t>Методе извођења наставе су предавања, интерактивна предавања, вежбе (у виду радионица са интерактивном наставом), други облици наставе и студијски истраживачки рад. У свим облицима наставе је предвиђена примена рачунара</w:t>
      </w:r>
      <w:r w:rsidR="00B86F5F" w:rsidRPr="0078000A">
        <w:rPr>
          <w:bCs/>
          <w:iCs/>
          <w:szCs w:val="22"/>
        </w:rPr>
        <w:t>.</w:t>
      </w:r>
    </w:p>
    <w:p w:rsidR="008B16F4" w:rsidRPr="005C34F0" w:rsidRDefault="008B16F4" w:rsidP="009B09A3"/>
    <w:p w:rsidR="00FD109F" w:rsidRPr="005C34F0" w:rsidRDefault="00FD109F" w:rsidP="009B09A3">
      <w:pPr>
        <w:pStyle w:val="Heading3"/>
        <w:spacing w:before="0" w:after="120" w:line="288" w:lineRule="auto"/>
        <w:jc w:val="both"/>
      </w:pPr>
      <w:r w:rsidRPr="005C34F0">
        <w:t>Прилози и табеле</w:t>
      </w:r>
    </w:p>
    <w:p w:rsidR="00B86F5F" w:rsidRPr="005C34F0" w:rsidRDefault="00B86F5F" w:rsidP="009B09A3">
      <w:r w:rsidRPr="005C34F0">
        <w:t>Прилог 1.1. Сајт Фармацеутског факултета</w:t>
      </w:r>
    </w:p>
    <w:p w:rsidR="00FD109F" w:rsidRPr="005C34F0" w:rsidRDefault="00B86F5F" w:rsidP="009B09A3">
      <w:pPr>
        <w:rPr>
          <w:szCs w:val="22"/>
        </w:rPr>
      </w:pPr>
      <w:r w:rsidRPr="005C34F0">
        <w:t>Прилог 1.1а. Публикација Установе: Информатор за студенте специјалистичких академских студија</w:t>
      </w:r>
    </w:p>
    <w:sectPr w:rsidR="00FD109F" w:rsidRPr="005C34F0" w:rsidSect="00541192">
      <w:headerReference w:type="default" r:id="rId6"/>
      <w:footerReference w:type="default" r:id="rId7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F42" w:rsidRDefault="00073F42" w:rsidP="006A1398">
      <w:pPr>
        <w:spacing w:after="0" w:line="240" w:lineRule="auto"/>
      </w:pPr>
      <w:r>
        <w:separator/>
      </w:r>
    </w:p>
  </w:endnote>
  <w:endnote w:type="continuationSeparator" w:id="0">
    <w:p w:rsidR="00073F42" w:rsidRDefault="00073F42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7" w:usb1="08070000" w:usb2="00000010" w:usb3="00000000" w:csb0="00020007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8CA" w:rsidRDefault="004508C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73F42">
      <w:rPr>
        <w:noProof/>
      </w:rPr>
      <w:t>1</w:t>
    </w:r>
    <w:r>
      <w:rPr>
        <w:noProof/>
      </w:rPr>
      <w:fldChar w:fldCharType="end"/>
    </w:r>
  </w:p>
  <w:p w:rsidR="004508CA" w:rsidRDefault="00450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F42" w:rsidRDefault="00073F42" w:rsidP="006A1398">
      <w:pPr>
        <w:spacing w:after="0" w:line="240" w:lineRule="auto"/>
      </w:pPr>
      <w:r>
        <w:separator/>
      </w:r>
    </w:p>
  </w:footnote>
  <w:footnote w:type="continuationSeparator" w:id="0">
    <w:p w:rsidR="00073F42" w:rsidRDefault="00073F42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398" w:rsidRPr="00E63C88" w:rsidRDefault="006A1398" w:rsidP="006A1398">
    <w:pPr>
      <w:pStyle w:val="Header"/>
      <w:tabs>
        <w:tab w:val="clear" w:pos="9072"/>
        <w:tab w:val="right" w:pos="9639"/>
      </w:tabs>
      <w:rPr>
        <w:u w:val="single"/>
        <w:lang w:val="sr-Latn-RS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 w:rsidR="00E63C88">
      <w:rPr>
        <w:u w:val="single"/>
        <w:lang w:val="sr-Latn-RS"/>
      </w:rPr>
      <w:t xml:space="preserve"> </w:t>
    </w:r>
    <w:r w:rsidR="002F3AB9">
      <w:rPr>
        <w:u w:val="single"/>
        <w:lang w:val="sr-Latn-RS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527E3"/>
    <w:rsid w:val="00073F42"/>
    <w:rsid w:val="00120D3A"/>
    <w:rsid w:val="00134166"/>
    <w:rsid w:val="0013586A"/>
    <w:rsid w:val="001510A6"/>
    <w:rsid w:val="001B6FAD"/>
    <w:rsid w:val="001C2792"/>
    <w:rsid w:val="0024658D"/>
    <w:rsid w:val="0025586A"/>
    <w:rsid w:val="00273FF4"/>
    <w:rsid w:val="00297A8F"/>
    <w:rsid w:val="002F3AB9"/>
    <w:rsid w:val="00342380"/>
    <w:rsid w:val="00370AAD"/>
    <w:rsid w:val="00396B8C"/>
    <w:rsid w:val="003E06AC"/>
    <w:rsid w:val="00407AA0"/>
    <w:rsid w:val="004155BF"/>
    <w:rsid w:val="004508CA"/>
    <w:rsid w:val="004A0214"/>
    <w:rsid w:val="004B1FB5"/>
    <w:rsid w:val="004E0056"/>
    <w:rsid w:val="00541192"/>
    <w:rsid w:val="00560997"/>
    <w:rsid w:val="005C2796"/>
    <w:rsid w:val="005C34F0"/>
    <w:rsid w:val="005C7975"/>
    <w:rsid w:val="005F1F97"/>
    <w:rsid w:val="005F704C"/>
    <w:rsid w:val="006355BD"/>
    <w:rsid w:val="006A1398"/>
    <w:rsid w:val="006C0CB1"/>
    <w:rsid w:val="006C17BB"/>
    <w:rsid w:val="006D02E7"/>
    <w:rsid w:val="006F1706"/>
    <w:rsid w:val="00735E54"/>
    <w:rsid w:val="00754533"/>
    <w:rsid w:val="007635DA"/>
    <w:rsid w:val="00766D0D"/>
    <w:rsid w:val="0077276F"/>
    <w:rsid w:val="0078000A"/>
    <w:rsid w:val="007960D3"/>
    <w:rsid w:val="007A3D2C"/>
    <w:rsid w:val="00844356"/>
    <w:rsid w:val="008B16F4"/>
    <w:rsid w:val="008C1E56"/>
    <w:rsid w:val="008F099F"/>
    <w:rsid w:val="0096644D"/>
    <w:rsid w:val="009A6E52"/>
    <w:rsid w:val="009B09A3"/>
    <w:rsid w:val="00B16AA6"/>
    <w:rsid w:val="00B74FE6"/>
    <w:rsid w:val="00B86F5F"/>
    <w:rsid w:val="00C35B21"/>
    <w:rsid w:val="00C57B69"/>
    <w:rsid w:val="00CC0C53"/>
    <w:rsid w:val="00D14C38"/>
    <w:rsid w:val="00D34AD8"/>
    <w:rsid w:val="00D422CA"/>
    <w:rsid w:val="00DA2B9D"/>
    <w:rsid w:val="00E31571"/>
    <w:rsid w:val="00E63C88"/>
    <w:rsid w:val="00E948B7"/>
    <w:rsid w:val="00EF5DC2"/>
    <w:rsid w:val="00F13514"/>
    <w:rsid w:val="00F25DEC"/>
    <w:rsid w:val="00F34FFB"/>
    <w:rsid w:val="00F35E64"/>
    <w:rsid w:val="00FA554B"/>
    <w:rsid w:val="00FD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33DA4"/>
  <w15:chartTrackingRefBased/>
  <w15:docId w15:val="{E1869414-4F27-41E4-A61E-1CC450472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D109F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109F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109F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109F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D109F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CommentReference">
    <w:name w:val="annotation reference"/>
    <w:semiHidden/>
    <w:rsid w:val="00F34FFB"/>
    <w:rPr>
      <w:sz w:val="16"/>
      <w:szCs w:val="16"/>
    </w:rPr>
  </w:style>
  <w:style w:type="paragraph" w:styleId="CommentText">
    <w:name w:val="annotation text"/>
    <w:basedOn w:val="Normal"/>
    <w:semiHidden/>
    <w:rsid w:val="00F34FFB"/>
    <w:rPr>
      <w:sz w:val="20"/>
    </w:rPr>
  </w:style>
  <w:style w:type="paragraph" w:styleId="CommentSubject">
    <w:name w:val="annotation subject"/>
    <w:basedOn w:val="CommentText"/>
    <w:next w:val="CommentText"/>
    <w:semiHidden/>
    <w:rsid w:val="00F34FFB"/>
    <w:rPr>
      <w:b/>
      <w:bCs/>
    </w:rPr>
  </w:style>
  <w:style w:type="paragraph" w:styleId="BalloonText">
    <w:name w:val="Balloon Text"/>
    <w:basedOn w:val="Normal"/>
    <w:semiHidden/>
    <w:rsid w:val="00F34FFB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FD109F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FD109F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FD10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СТАНДАРД 1: СТРУКТУРА СТУДИЈСКОГ ПРОГРАМА</vt:lpstr>
      <vt:lpstr>Стандард 1: Структура студијског програма</vt:lpstr>
      <vt:lpstr>        Студијски програм специјалистичких академских студија Биохемијска дијагностика и</vt:lpstr>
      <vt:lpstr>        Имплементација ЕСПБ извршена је према немодуларизованом систему (предмети могу и</vt:lpstr>
      <vt:lpstr>        Настава се изводи кроз рад са групама студената, индивидуални (менторски) рад, а</vt:lpstr>
      <vt:lpstr>        Изборни предмети предвиђени су у свим семестрима. Наставни садржаји изборних пре</vt:lpstr>
      <vt:lpstr>        У току трећег семестра студенти могу приступити изради специјалистичког рада под</vt:lpstr>
      <vt:lpstr>        Прилози и табеле</vt:lpstr>
    </vt:vector>
  </TitlesOfParts>
  <Company>Farmaceutski fakultet</Company>
  <LinksUpToDate>false</LinksUpToDate>
  <CharactersWithSpaces>4128</CharactersWithSpaces>
  <SharedDoc>false</SharedDoc>
  <HLinks>
    <vt:vector size="12" baseType="variant">
      <vt:variant>
        <vt:i4>3342441</vt:i4>
      </vt:variant>
      <vt:variant>
        <vt:i4>3</vt:i4>
      </vt:variant>
      <vt:variant>
        <vt:i4>0</vt:i4>
      </vt:variant>
      <vt:variant>
        <vt:i4>5</vt:i4>
      </vt:variant>
      <vt:variant>
        <vt:lpwstr>Prilog 1.1a.pdf</vt:lpwstr>
      </vt:variant>
      <vt:variant>
        <vt:lpwstr/>
      </vt:variant>
      <vt:variant>
        <vt:i4>4259855</vt:i4>
      </vt:variant>
      <vt:variant>
        <vt:i4>0</vt:i4>
      </vt:variant>
      <vt:variant>
        <vt:i4>0</vt:i4>
      </vt:variant>
      <vt:variant>
        <vt:i4>5</vt:i4>
      </vt:variant>
      <vt:variant>
        <vt:lpwstr>http://www.pharmacy.bg.ac.rs/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1: СТРУКТУРА СТУДИЈСКОГ ПРОГРАМА</dc:title>
  <dc:subject/>
  <dc:creator>Nikola Spasić</dc:creator>
  <cp:keywords/>
  <cp:lastModifiedBy>Slavica Spasić</cp:lastModifiedBy>
  <cp:revision>4</cp:revision>
  <dcterms:created xsi:type="dcterms:W3CDTF">2016-12-19T08:37:00Z</dcterms:created>
  <dcterms:modified xsi:type="dcterms:W3CDTF">2017-01-02T09:33:00Z</dcterms:modified>
</cp:coreProperties>
</file>